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AA9B7">
      <w:pPr>
        <w:widowControl/>
        <w:shd w:val="clear" w:color="auto" w:fill="FFFFFF"/>
        <w:spacing w:line="700" w:lineRule="exact"/>
        <w:jc w:val="center"/>
        <w:textAlignment w:val="baseline"/>
        <w:rPr>
          <w:rFonts w:ascii="方正小标宋简体" w:hAnsi="方正小标宋简体" w:eastAsia="方正小标宋简体" w:cs="方正小标宋简体"/>
          <w:b/>
          <w:bCs/>
          <w:color w:val="333333"/>
          <w:kern w:val="0"/>
          <w:sz w:val="54"/>
          <w:szCs w:val="54"/>
          <w:shd w:val="clear" w:color="auto" w:fill="FFFFFF"/>
          <w:lang w:bidi="ar"/>
        </w:rPr>
      </w:pPr>
      <w:r>
        <w:rPr>
          <w:rFonts w:hint="eastAsia" w:ascii="方正小标宋简体" w:hAnsi="方正小标宋简体" w:eastAsia="方正小标宋简体" w:cs="方正小标宋简体"/>
          <w:b/>
          <w:bCs/>
          <w:color w:val="333333"/>
          <w:kern w:val="0"/>
          <w:sz w:val="54"/>
          <w:szCs w:val="54"/>
          <w:shd w:val="clear" w:color="auto" w:fill="FFFFFF"/>
          <w:lang w:bidi="ar"/>
        </w:rPr>
        <w:t>科技部办公厅 财政部办公厅关于开展2026年中央级高等学校和科研院所等单位重大科研基础设施和大型科研仪器开放共享评价考核工作的通知</w:t>
      </w:r>
    </w:p>
    <w:p w14:paraId="14888542">
      <w:pPr>
        <w:widowControl/>
        <w:shd w:val="clear" w:color="auto" w:fill="FFFFFF"/>
        <w:spacing w:line="560" w:lineRule="exact"/>
        <w:jc w:val="center"/>
        <w:textAlignment w:val="baseline"/>
        <w:rPr>
          <w:rFonts w:hint="eastAsia" w:ascii="方正小标宋简体" w:hAnsi="方正小标宋简体" w:eastAsia="方正小标宋简体" w:cs="方正小标宋简体"/>
          <w:b/>
          <w:bCs/>
          <w:color w:val="333333"/>
          <w:sz w:val="54"/>
          <w:szCs w:val="54"/>
        </w:rPr>
      </w:pPr>
    </w:p>
    <w:p w14:paraId="1F9DBB5B">
      <w:pPr>
        <w:pStyle w:val="21"/>
        <w:rPr>
          <w:rFonts w:eastAsia="仿宋_GB2312" w:cs="仿宋_GB2312"/>
          <w:sz w:val="32"/>
          <w:szCs w:val="32"/>
        </w:rPr>
      </w:pPr>
      <w:r>
        <w:rPr>
          <w:rFonts w:eastAsia="仿宋_GB2312" w:cs="仿宋_GB2312"/>
          <w:color w:val="000000"/>
          <w:sz w:val="32"/>
          <w:szCs w:val="32"/>
        </w:rPr>
        <w:t>各有关单位：</w:t>
      </w:r>
    </w:p>
    <w:p w14:paraId="01295ECA">
      <w:pPr>
        <w:pStyle w:val="11"/>
        <w:ind w:firstLine="616"/>
      </w:pPr>
      <w:r>
        <w:rPr>
          <w:color w:val="000000"/>
        </w:rPr>
        <w:t>为贯彻落实党的二十届四中全会和加强基础研究座谈会精神，深入贯彻落实《国务院关于国家重大科研基础设施和大型科研仪器向社会开放的意见》（国发〔2014〕70号，以下简称《意见》），充分发挥国家重大科技基础设施和大型科研仪器开放共享评价考核的激励引导作用，科技部、财政部决定开展2026年中央级高等学校和科研院所等单位重大科研基础设施和大型科研仪器开放共享评价考核工作。现将有关事项通知如下。</w:t>
      </w:r>
    </w:p>
    <w:p w14:paraId="2B261EDC">
      <w:pPr>
        <w:pStyle w:val="2"/>
        <w:ind w:firstLine="640" w:firstLineChars="0"/>
      </w:pPr>
      <w:r>
        <w:rPr>
          <w:rFonts w:hint="eastAsia"/>
        </w:rPr>
        <w:t>一、</w:t>
      </w:r>
      <w:r>
        <w:t>评价考核目的</w:t>
      </w:r>
    </w:p>
    <w:p w14:paraId="707AAF98">
      <w:pPr>
        <w:pStyle w:val="11"/>
        <w:ind w:firstLine="616"/>
      </w:pPr>
      <w:r>
        <w:rPr>
          <w:color w:val="000000"/>
        </w:rPr>
        <w:t>评价考核是《意见》确定的重点任务，是推动科研设施与仪器开放共享的重要举措，是建立奖惩机制的重要依据。根据评价考核结果，对评价考核结果较好的单位，通过后补助予以支持，并在新增资产配置预算中优先考虑；对于评价考核结果较差的单位，视具体情况予以警告或者通报批评、核减相关经费等相应的处理。同时，评</w:t>
      </w:r>
      <w:r>
        <w:rPr>
          <w:color w:val="000000"/>
          <w:spacing w:val="4"/>
        </w:rPr>
        <w:t>价考核结果还将作为科技创新基地</w:t>
      </w:r>
      <w:r>
        <w:rPr>
          <w:color w:val="000000"/>
          <w:spacing w:val="3"/>
        </w:rPr>
        <w:t>、</w:t>
      </w:r>
      <w:r>
        <w:rPr>
          <w:color w:val="000000"/>
          <w:spacing w:val="4"/>
        </w:rPr>
        <w:t>科研机构等评估的重</w:t>
      </w:r>
      <w:r>
        <w:rPr>
          <w:color w:val="000000"/>
        </w:rPr>
        <w:t>要依据。</w:t>
      </w:r>
    </w:p>
    <w:p w14:paraId="2DAF3F1C">
      <w:pPr>
        <w:pStyle w:val="2"/>
        <w:ind w:firstLine="640" w:firstLineChars="0"/>
      </w:pPr>
      <w:r>
        <w:rPr>
          <w:rFonts w:hint="eastAsia"/>
        </w:rPr>
        <w:t>二、</w:t>
      </w:r>
      <w:r>
        <w:t>评价考核范围</w:t>
      </w:r>
    </w:p>
    <w:p w14:paraId="3714F229">
      <w:pPr>
        <w:pStyle w:val="11"/>
        <w:ind w:firstLine="616"/>
      </w:pPr>
      <w:r>
        <w:rPr>
          <w:color w:val="000000"/>
        </w:rPr>
        <w:t>本次评价考核范围为中央级高等学校和科研院所等单位，以法人单位为考核</w:t>
      </w:r>
      <w:r>
        <w:rPr>
          <w:color w:val="000000"/>
          <w:highlight w:val="none"/>
        </w:rPr>
        <w:t>对象，对其拥有的重大科研基础设施和原值50万元以上的大型科研仪器</w:t>
      </w:r>
      <w:r>
        <w:rPr>
          <w:b/>
          <w:bCs/>
          <w:color w:val="FF0000"/>
          <w:highlight w:val="none"/>
        </w:rPr>
        <w:t>2025年1月1日至2026年6月30日</w:t>
      </w:r>
      <w:r>
        <w:rPr>
          <w:color w:val="000000"/>
          <w:highlight w:val="none"/>
        </w:rPr>
        <w:t>的开放共享情况进行评价考核。2024</w:t>
      </w:r>
      <w:r>
        <w:rPr>
          <w:color w:val="000000"/>
        </w:rPr>
        <w:t>年评价考核结果为较差的4家单位已完成整改（整改期1年），参加此次考核。2025年评价考核结果为较差的3家单位尚处于整改期，不纳入此次考核范围。</w:t>
      </w:r>
    </w:p>
    <w:p w14:paraId="399AD255">
      <w:pPr>
        <w:pStyle w:val="2"/>
        <w:ind w:firstLine="640" w:firstLineChars="0"/>
      </w:pPr>
      <w:r>
        <w:rPr>
          <w:rFonts w:hint="eastAsia"/>
        </w:rPr>
        <w:t>三、</w:t>
      </w:r>
      <w:r>
        <w:t>评价考核内容</w:t>
      </w:r>
      <w:bookmarkStart w:id="0" w:name="_GoBack"/>
      <w:bookmarkEnd w:id="0"/>
    </w:p>
    <w:p w14:paraId="0383CCA4">
      <w:pPr>
        <w:pStyle w:val="11"/>
        <w:ind w:firstLine="616" w:firstLineChars="0"/>
      </w:pPr>
      <w:r>
        <w:rPr>
          <w:rStyle w:val="23"/>
          <w:rFonts w:hint="eastAsia"/>
        </w:rPr>
        <w:t>（一）</w:t>
      </w:r>
      <w:r>
        <w:rPr>
          <w:rStyle w:val="23"/>
        </w:rPr>
        <w:t>组织管理</w:t>
      </w:r>
      <w:r>
        <w:rPr>
          <w:color w:val="000000"/>
        </w:rPr>
        <w:t>。包括科研设施与仪器管理体系及运行情况，开放共享制度和激励约束机制建设与实施情况，新建设施与新购仪器查重评议情况，推进集中集约管理情况，纳入科研设施与仪器国家网络管理平台的仪器情况，实验队伍建设情况，在线服务平台建设及与国家网络管理平台对接情况等。</w:t>
      </w:r>
    </w:p>
    <w:p w14:paraId="724E672C">
      <w:pPr>
        <w:pStyle w:val="11"/>
        <w:ind w:firstLine="616" w:firstLineChars="0"/>
      </w:pPr>
      <w:r>
        <w:rPr>
          <w:rStyle w:val="23"/>
          <w:rFonts w:hint="eastAsia"/>
        </w:rPr>
        <w:t>（二）</w:t>
      </w:r>
      <w:r>
        <w:rPr>
          <w:rStyle w:val="23"/>
        </w:rPr>
        <w:t>运行使用</w:t>
      </w:r>
      <w:r>
        <w:rPr>
          <w:color w:val="000000"/>
        </w:rPr>
        <w:t>。包括科研仪器年平均有效工作机时，科研设施与仪器的维修维护及盘活利用情况，支撑本单位开展重大科研任务情况以及相关研究成果的产出、水平与贡献等。</w:t>
      </w:r>
    </w:p>
    <w:p w14:paraId="44D8FAA5">
      <w:pPr>
        <w:pStyle w:val="11"/>
        <w:ind w:firstLine="616" w:firstLineChars="0"/>
      </w:pPr>
      <w:r>
        <w:rPr>
          <w:rStyle w:val="23"/>
          <w:rFonts w:hint="eastAsia"/>
        </w:rPr>
        <w:t>（三）</w:t>
      </w:r>
      <w:r>
        <w:rPr>
          <w:rStyle w:val="23"/>
        </w:rPr>
        <w:t>共享服务</w:t>
      </w:r>
      <w:r>
        <w:rPr>
          <w:color w:val="000000"/>
        </w:rPr>
        <w:t>。包括科研仪器年平均对外服务机时，对外开放服务及收费制度制定和执行情况，收费金额变化情况，服务外单位重大科研任务、重大工程实施情况以及相关研究成果的产出、水平与贡献，向民营企业开放、用户评价等情况，通过技术攻关、验证评价、应用场景开发、示范推广等推进科研仪器及配套试剂、数据库等科技基础条件自主保障的工作及成效。</w:t>
      </w:r>
    </w:p>
    <w:p w14:paraId="531468ED">
      <w:pPr>
        <w:pStyle w:val="2"/>
        <w:ind w:firstLine="640" w:firstLineChars="0"/>
      </w:pPr>
      <w:r>
        <w:rPr>
          <w:rFonts w:hint="eastAsia"/>
        </w:rPr>
        <w:t>四、</w:t>
      </w:r>
      <w:r>
        <w:t>有关要求</w:t>
      </w:r>
    </w:p>
    <w:p w14:paraId="510A35E5">
      <w:pPr>
        <w:pStyle w:val="11"/>
        <w:ind w:firstLine="616" w:firstLineChars="0"/>
        <w:rPr>
          <w:color w:val="000000"/>
        </w:rPr>
      </w:pPr>
      <w:r>
        <w:rPr>
          <w:rFonts w:hint="eastAsia"/>
          <w:color w:val="000000"/>
        </w:rPr>
        <w:t>1.</w:t>
      </w:r>
      <w:r>
        <w:rPr>
          <w:rFonts w:hint="eastAsia" w:ascii="仿宋" w:hAnsi="仿宋" w:eastAsia="仿宋" w:cs="仿宋"/>
          <w:color w:val="000000"/>
        </w:rPr>
        <w:t xml:space="preserve"> </w:t>
      </w:r>
      <w:r>
        <w:rPr>
          <w:color w:val="000000"/>
        </w:rPr>
        <w:t>各有关部门要高度重视，精心组织，加强对本部门参评单位的指导和督促，对所属单位报送的数据和自评报告审核把关，汇总相关材料，确保本次评价考核工作顺利开展。</w:t>
      </w:r>
    </w:p>
    <w:p w14:paraId="0FC27E51">
      <w:pPr>
        <w:pStyle w:val="11"/>
        <w:ind w:firstLine="616" w:firstLineChars="0"/>
        <w:rPr>
          <w:color w:val="000000"/>
        </w:rPr>
      </w:pPr>
      <w:r>
        <w:rPr>
          <w:rFonts w:hint="eastAsia"/>
          <w:color w:val="000000"/>
        </w:rPr>
        <w:t>2.</w:t>
      </w:r>
      <w:r>
        <w:rPr>
          <w:rFonts w:hint="eastAsia" w:ascii="仿宋" w:hAnsi="仿宋" w:eastAsia="仿宋" w:cs="仿宋"/>
          <w:color w:val="000000"/>
        </w:rPr>
        <w:t xml:space="preserve"> </w:t>
      </w:r>
      <w:r>
        <w:rPr>
          <w:color w:val="000000"/>
        </w:rPr>
        <w:t>请各参评单位对本单位重大科研基础设施和大型科研仪器开放共享情况进行总结评估，按照自评报告提纲（见附件），在国家网络管理平台（nrii.org.cn）上填报相关信息，形成自评报告，并打印纸质版（一式2份）报送主管部门汇总。</w:t>
      </w:r>
    </w:p>
    <w:p w14:paraId="3374A106">
      <w:pPr>
        <w:pStyle w:val="11"/>
        <w:ind w:firstLine="616" w:firstLineChars="0"/>
        <w:rPr>
          <w:color w:val="000000"/>
        </w:rPr>
      </w:pPr>
      <w:r>
        <w:rPr>
          <w:rFonts w:hint="eastAsia"/>
          <w:color w:val="000000"/>
        </w:rPr>
        <w:t>3.</w:t>
      </w:r>
      <w:r>
        <w:rPr>
          <w:rFonts w:hint="eastAsia" w:ascii="仿宋" w:hAnsi="仿宋" w:eastAsia="仿宋" w:cs="仿宋"/>
          <w:color w:val="000000"/>
        </w:rPr>
        <w:t xml:space="preserve"> </w:t>
      </w:r>
      <w:r>
        <w:rPr>
          <w:color w:val="000000"/>
          <w:highlight w:val="none"/>
        </w:rPr>
        <w:t>请各参评单位于9月13日（周日）17:00前，</w:t>
      </w:r>
      <w:r>
        <w:rPr>
          <w:color w:val="000000"/>
        </w:rPr>
        <w:t>将经主管部门审核的自评报告电子版通过国家网络管理平台提交，各有关部门将汇总的纸质材料寄至国家科技基础条件平台中心。</w:t>
      </w:r>
    </w:p>
    <w:p w14:paraId="1C52347B">
      <w:pPr>
        <w:pStyle w:val="11"/>
        <w:ind w:firstLine="616" w:firstLineChars="0"/>
        <w:rPr>
          <w:color w:val="000000"/>
        </w:rPr>
      </w:pPr>
      <w:r>
        <w:rPr>
          <w:rFonts w:hint="eastAsia"/>
          <w:color w:val="000000"/>
        </w:rPr>
        <w:t>4.</w:t>
      </w:r>
      <w:r>
        <w:rPr>
          <w:rFonts w:hint="eastAsia" w:ascii="仿宋" w:hAnsi="仿宋" w:eastAsia="仿宋" w:cs="仿宋"/>
          <w:color w:val="000000"/>
        </w:rPr>
        <w:t xml:space="preserve"> </w:t>
      </w:r>
      <w:r>
        <w:rPr>
          <w:color w:val="000000"/>
        </w:rPr>
        <w:t>参评单位要认真准备相关材料，确保数据真实可靠。评价考核将采取随机抽查的方式核实相关数据，对发现数据造假的单位，将根据相关规定记入科研严重失信行为记录。</w:t>
      </w:r>
    </w:p>
    <w:p w14:paraId="18B4093C">
      <w:pPr>
        <w:pStyle w:val="11"/>
        <w:ind w:firstLine="616" w:firstLineChars="0"/>
        <w:rPr>
          <w:color w:val="000000"/>
        </w:rPr>
      </w:pPr>
      <w:r>
        <w:rPr>
          <w:rFonts w:hint="eastAsia"/>
          <w:color w:val="000000"/>
        </w:rPr>
        <w:t>5.</w:t>
      </w:r>
      <w:r>
        <w:rPr>
          <w:rFonts w:hint="eastAsia" w:ascii="仿宋" w:hAnsi="仿宋" w:eastAsia="仿宋" w:cs="仿宋"/>
          <w:color w:val="000000"/>
          <w:spacing w:val="3"/>
        </w:rPr>
        <w:t xml:space="preserve"> </w:t>
      </w:r>
      <w:r>
        <w:rPr>
          <w:color w:val="000000"/>
          <w:spacing w:val="3"/>
        </w:rPr>
        <w:t>本次评价考核的具体工作由国家科技基础条件平台中</w:t>
      </w:r>
      <w:r>
        <w:rPr>
          <w:color w:val="000000"/>
        </w:rPr>
        <w:t>心承担。</w:t>
      </w:r>
    </w:p>
    <w:p w14:paraId="4DD2FF43">
      <w:pPr>
        <w:pStyle w:val="11"/>
        <w:ind w:firstLine="616"/>
      </w:pPr>
      <w:r>
        <w:rPr>
          <w:color w:val="000000"/>
        </w:rPr>
        <w:t>联系人及电话：</w:t>
      </w:r>
    </w:p>
    <w:p w14:paraId="32979D95">
      <w:pPr>
        <w:pStyle w:val="11"/>
        <w:ind w:firstLine="616"/>
      </w:pPr>
      <w:r>
        <w:rPr>
          <w:color w:val="000000"/>
        </w:rPr>
        <w:t>科技部国家科技基础条件平台中心：岳琦、赫运涛，010－58881118、58881116</w:t>
      </w:r>
    </w:p>
    <w:p w14:paraId="7D853AB6">
      <w:pPr>
        <w:pStyle w:val="11"/>
        <w:ind w:firstLine="616"/>
      </w:pPr>
      <w:r>
        <w:rPr>
          <w:color w:val="000000"/>
        </w:rPr>
        <w:t>科技部四司：闫益康，010－58881505</w:t>
      </w:r>
    </w:p>
    <w:p w14:paraId="7B2A534C">
      <w:pPr>
        <w:pStyle w:val="11"/>
        <w:ind w:firstLine="616"/>
      </w:pPr>
      <w:r>
        <w:rPr>
          <w:color w:val="000000"/>
        </w:rPr>
        <w:t>国家网络管理平台：孙力强、刘瑞，010－82319708、82338083</w:t>
      </w:r>
    </w:p>
    <w:p w14:paraId="21CA7C21">
      <w:pPr>
        <w:pStyle w:val="11"/>
        <w:ind w:firstLine="616"/>
      </w:pPr>
      <w:r>
        <w:rPr>
          <w:color w:val="000000"/>
        </w:rPr>
        <w:t>邮寄地址：北京市海淀区北蜂窝中路3号，国家科技基础条件平台中心</w:t>
      </w:r>
    </w:p>
    <w:p w14:paraId="7008B8A8">
      <w:pPr>
        <w:pStyle w:val="15"/>
        <w:widowControl/>
        <w:spacing w:beforeAutospacing="0" w:afterAutospacing="0" w:line="30" w:lineRule="atLeast"/>
        <w:jc w:val="both"/>
        <w:textAlignment w:val="baseline"/>
      </w:pPr>
      <w:r>
        <w:rPr>
          <w:rFonts w:ascii="宋体" w:hAnsi="宋体" w:eastAsia="宋体" w:cs="宋体"/>
          <w:color w:val="000000"/>
          <w:sz w:val="27"/>
          <w:szCs w:val="27"/>
          <w:shd w:val="clear" w:color="auto" w:fill="FFFFFF"/>
        </w:rPr>
        <w:t>　　</w:t>
      </w:r>
    </w:p>
    <w:p w14:paraId="19A0E77D">
      <w:pPr>
        <w:pStyle w:val="11"/>
        <w:ind w:firstLine="616"/>
      </w:pPr>
    </w:p>
    <w:p w14:paraId="4CDD73F6">
      <w:pPr>
        <w:pStyle w:val="11"/>
        <w:ind w:left="1540" w:hanging="924" w:firstLineChars="0"/>
      </w:pPr>
      <w:r>
        <w:rPr>
          <w:color w:val="000000"/>
        </w:rPr>
        <w:t>附件：科研设施与仪器开放共享自评报告（提纲）</w:t>
      </w:r>
    </w:p>
    <w:p w14:paraId="66B67E21">
      <w:pPr>
        <w:pStyle w:val="15"/>
        <w:widowControl/>
        <w:spacing w:beforeAutospacing="0" w:afterAutospacing="0" w:line="30" w:lineRule="atLeast"/>
        <w:jc w:val="both"/>
        <w:textAlignment w:val="baseline"/>
      </w:pPr>
      <w:r>
        <w:rPr>
          <w:rFonts w:ascii="宋体" w:hAnsi="宋体" w:eastAsia="宋体" w:cs="宋体"/>
          <w:color w:val="000000"/>
          <w:sz w:val="27"/>
          <w:szCs w:val="27"/>
          <w:shd w:val="clear" w:color="auto" w:fill="FFFFFF"/>
        </w:rPr>
        <w:t>　　</w:t>
      </w:r>
    </w:p>
    <w:p w14:paraId="0211A90F">
      <w:pPr>
        <w:pStyle w:val="15"/>
        <w:widowControl/>
        <w:spacing w:beforeAutospacing="0" w:afterAutospacing="0" w:line="30" w:lineRule="atLeast"/>
        <w:jc w:val="both"/>
        <w:textAlignment w:val="baseline"/>
        <w:rPr>
          <w:rFonts w:ascii="宋体" w:hAnsi="宋体" w:eastAsia="宋体" w:cs="宋体"/>
          <w:color w:val="000000"/>
          <w:sz w:val="27"/>
          <w:szCs w:val="27"/>
          <w:shd w:val="clear" w:color="auto" w:fill="FFFFFF"/>
        </w:rPr>
      </w:pPr>
      <w:r>
        <w:rPr>
          <w:rFonts w:ascii="宋体" w:hAnsi="宋体" w:eastAsia="宋体" w:cs="宋体"/>
          <w:color w:val="000000"/>
          <w:sz w:val="27"/>
          <w:szCs w:val="27"/>
          <w:shd w:val="clear" w:color="auto" w:fill="FFFFFF"/>
        </w:rPr>
        <w:t>　　</w:t>
      </w:r>
    </w:p>
    <w:p w14:paraId="7A8F5B98">
      <w:pPr>
        <w:pStyle w:val="11"/>
        <w:ind w:firstLine="616"/>
      </w:pPr>
    </w:p>
    <w:p w14:paraId="68B9CA6F">
      <w:pPr>
        <w:pStyle w:val="11"/>
        <w:ind w:firstLine="616"/>
      </w:pPr>
    </w:p>
    <w:p w14:paraId="3A97EA9A">
      <w:pPr>
        <w:pStyle w:val="11"/>
        <w:ind w:firstLine="616"/>
      </w:pPr>
    </w:p>
    <w:tbl>
      <w:tblPr>
        <w:tblStyle w:val="18"/>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6" w:type="dxa"/>
          <w:left w:w="108" w:type="dxa"/>
          <w:bottom w:w="46" w:type="dxa"/>
          <w:right w:w="108" w:type="dxa"/>
        </w:tblCellMar>
      </w:tblPr>
      <w:tblGrid>
        <w:gridCol w:w="686"/>
        <w:gridCol w:w="3736"/>
        <w:gridCol w:w="3736"/>
        <w:gridCol w:w="686"/>
      </w:tblGrid>
      <w:tr w14:paraId="2E3D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108" w:type="dxa"/>
            <w:bottom w:w="46" w:type="dxa"/>
            <w:right w:w="108" w:type="dxa"/>
          </w:tblCellMar>
        </w:tblPrEx>
        <w:trPr>
          <w:trHeight w:val="541" w:hRule="atLeast"/>
          <w:jc w:val="center"/>
        </w:trPr>
        <w:tc>
          <w:tcPr>
            <w:tcW w:w="686" w:type="dxa"/>
            <w:tcMar>
              <w:top w:w="0" w:type="dxa"/>
              <w:left w:w="0" w:type="dxa"/>
              <w:bottom w:w="0" w:type="dxa"/>
              <w:right w:w="0" w:type="dxa"/>
            </w:tcMar>
          </w:tcPr>
          <w:p w14:paraId="710FED75">
            <w:pPr>
              <w:pStyle w:val="11"/>
              <w:widowControl/>
              <w:ind w:firstLine="0" w:firstLineChars="0"/>
              <w:jc w:val="center"/>
            </w:pPr>
          </w:p>
        </w:tc>
        <w:tc>
          <w:tcPr>
            <w:tcW w:w="3736" w:type="dxa"/>
            <w:tcMar>
              <w:top w:w="0" w:type="dxa"/>
              <w:left w:w="108" w:type="dxa"/>
              <w:bottom w:w="0" w:type="dxa"/>
              <w:right w:w="108" w:type="dxa"/>
            </w:tcMar>
            <w:vAlign w:val="bottom"/>
          </w:tcPr>
          <w:p w14:paraId="0B15A7B4">
            <w:pPr>
              <w:pStyle w:val="11"/>
              <w:widowControl/>
              <w:ind w:firstLine="0" w:firstLineChars="0"/>
              <w:jc w:val="center"/>
            </w:pPr>
            <w:r>
              <w:rPr>
                <w:rFonts w:hint="eastAsia"/>
                <w:lang w:val="en"/>
              </w:rPr>
              <w:t>科技部办公厅</w:t>
            </w:r>
          </w:p>
        </w:tc>
        <w:tc>
          <w:tcPr>
            <w:tcW w:w="3736" w:type="dxa"/>
            <w:tcMar>
              <w:top w:w="0" w:type="dxa"/>
              <w:left w:w="108" w:type="dxa"/>
              <w:bottom w:w="0" w:type="dxa"/>
              <w:right w:w="108" w:type="dxa"/>
            </w:tcMar>
            <w:vAlign w:val="bottom"/>
          </w:tcPr>
          <w:p w14:paraId="58CF6427">
            <w:pPr>
              <w:pStyle w:val="11"/>
              <w:widowControl/>
              <w:ind w:firstLine="0" w:firstLineChars="0"/>
              <w:jc w:val="center"/>
            </w:pPr>
            <w:r>
              <w:rPr>
                <w:rFonts w:hint="eastAsia"/>
                <w:lang w:val="en"/>
              </w:rPr>
              <w:t>财政部办公厅</w:t>
            </w:r>
          </w:p>
        </w:tc>
        <w:tc>
          <w:tcPr>
            <w:tcW w:w="686" w:type="dxa"/>
            <w:tcMar>
              <w:top w:w="0" w:type="dxa"/>
              <w:left w:w="0" w:type="dxa"/>
              <w:bottom w:w="0" w:type="dxa"/>
              <w:right w:w="0" w:type="dxa"/>
            </w:tcMar>
          </w:tcPr>
          <w:p w14:paraId="27421C1D">
            <w:pPr>
              <w:pStyle w:val="11"/>
              <w:widowControl/>
              <w:ind w:firstLine="0" w:firstLineChars="0"/>
              <w:jc w:val="center"/>
            </w:pPr>
          </w:p>
        </w:tc>
      </w:tr>
      <w:tr w14:paraId="2061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108" w:type="dxa"/>
            <w:bottom w:w="46" w:type="dxa"/>
            <w:right w:w="108" w:type="dxa"/>
          </w:tblCellMar>
        </w:tblPrEx>
        <w:trPr>
          <w:trHeight w:val="23" w:hRule="atLeast"/>
          <w:jc w:val="center"/>
        </w:trPr>
        <w:tc>
          <w:tcPr>
            <w:tcW w:w="686" w:type="dxa"/>
            <w:tcMar>
              <w:top w:w="0" w:type="dxa"/>
              <w:left w:w="0" w:type="dxa"/>
              <w:bottom w:w="0" w:type="dxa"/>
              <w:right w:w="0" w:type="dxa"/>
            </w:tcMar>
          </w:tcPr>
          <w:p w14:paraId="7FBCC430">
            <w:pPr>
              <w:pStyle w:val="11"/>
              <w:widowControl/>
              <w:ind w:firstLine="0" w:firstLineChars="0"/>
              <w:jc w:val="center"/>
            </w:pPr>
          </w:p>
        </w:tc>
        <w:tc>
          <w:tcPr>
            <w:tcW w:w="3736" w:type="dxa"/>
            <w:tcMar>
              <w:top w:w="0" w:type="dxa"/>
              <w:left w:w="0" w:type="dxa"/>
              <w:bottom w:w="0" w:type="dxa"/>
              <w:right w:w="0" w:type="dxa"/>
            </w:tcMar>
          </w:tcPr>
          <w:p w14:paraId="07BF5576">
            <w:pPr>
              <w:pStyle w:val="11"/>
              <w:widowControl/>
              <w:ind w:firstLine="0" w:firstLineChars="0"/>
              <w:jc w:val="center"/>
            </w:pPr>
          </w:p>
        </w:tc>
        <w:tc>
          <w:tcPr>
            <w:tcW w:w="3736" w:type="dxa"/>
            <w:tcMar>
              <w:top w:w="0" w:type="dxa"/>
              <w:left w:w="0" w:type="dxa"/>
              <w:bottom w:w="0" w:type="dxa"/>
              <w:right w:w="0" w:type="dxa"/>
            </w:tcMar>
          </w:tcPr>
          <w:p w14:paraId="523E3242">
            <w:pPr>
              <w:pStyle w:val="11"/>
              <w:widowControl/>
              <w:ind w:firstLine="0" w:firstLineChars="0"/>
              <w:jc w:val="center"/>
            </w:pPr>
            <w:r>
              <w:rPr>
                <w:rFonts w:hint="eastAsia"/>
              </w:rPr>
              <w:t>财政部办公厅2026年8月11日</w:t>
            </w:r>
          </w:p>
        </w:tc>
        <w:tc>
          <w:tcPr>
            <w:tcW w:w="686" w:type="dxa"/>
            <w:tcMar>
              <w:top w:w="0" w:type="dxa"/>
              <w:left w:w="0" w:type="dxa"/>
              <w:bottom w:w="0" w:type="dxa"/>
              <w:right w:w="0" w:type="dxa"/>
            </w:tcMar>
          </w:tcPr>
          <w:p w14:paraId="371AF621">
            <w:pPr>
              <w:pStyle w:val="11"/>
              <w:widowControl/>
              <w:ind w:firstLine="0" w:firstLineChars="0"/>
              <w:jc w:val="center"/>
            </w:pPr>
          </w:p>
        </w:tc>
      </w:tr>
    </w:tbl>
    <w:p w14:paraId="4791DE17">
      <w:pPr>
        <w:pStyle w:val="11"/>
        <w:ind w:firstLine="616"/>
      </w:pPr>
      <w:r>
        <w:rPr>
          <w:color w:val="000000"/>
        </w:rPr>
        <w:t>（此件主动公开）</w:t>
      </w:r>
    </w:p>
    <w:p w14:paraId="4201E169">
      <w:pPr>
        <w:pStyle w:val="15"/>
        <w:widowControl/>
        <w:spacing w:beforeAutospacing="0" w:afterAutospacing="0" w:line="30" w:lineRule="atLeast"/>
        <w:jc w:val="both"/>
        <w:textAlignment w:val="baseline"/>
      </w:pPr>
    </w:p>
    <w:p w14:paraId="5D3156CE">
      <w:pPr>
        <w:widowControl/>
        <w:spacing w:line="0" w:lineRule="atLeast"/>
        <w:textAlignment w:val="baseline"/>
        <w:rPr>
          <w:sz w:val="0"/>
          <w:szCs w:val="0"/>
        </w:rPr>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48DBF89F">
      <w:pPr>
        <w:pStyle w:val="15"/>
        <w:widowControl/>
        <w:spacing w:beforeAutospacing="0" w:afterAutospacing="0" w:line="30" w:lineRule="atLeast"/>
        <w:jc w:val="both"/>
        <w:textAlignment w:val="baseline"/>
      </w:pPr>
    </w:p>
    <w:p w14:paraId="39DDD928">
      <w:pPr>
        <w:rPr>
          <w:rFonts w:ascii="黑体" w:hAnsi="黑体" w:eastAsia="黑体" w:cs="黑体"/>
          <w:sz w:val="32"/>
          <w:szCs w:val="32"/>
        </w:rPr>
      </w:pPr>
      <w:r>
        <w:rPr>
          <w:rFonts w:ascii="黑体" w:hAnsi="黑体" w:eastAsia="黑体" w:cs="黑体"/>
          <w:sz w:val="32"/>
          <w:szCs w:val="32"/>
        </w:rPr>
        <w:br w:type="page"/>
      </w:r>
    </w:p>
    <w:p w14:paraId="0EE0B4DE">
      <w:pPr>
        <w:pStyle w:val="22"/>
        <w:rPr>
          <w:rFonts w:ascii="黑体" w:hAnsi="黑体" w:eastAsia="黑体" w:cs="黑体"/>
          <w:sz w:val="32"/>
          <w:szCs w:val="32"/>
        </w:rPr>
      </w:pPr>
      <w:r>
        <w:rPr>
          <w:rFonts w:ascii="黑体" w:hAnsi="黑体" w:eastAsia="黑体" w:cs="黑体"/>
          <w:sz w:val="32"/>
          <w:szCs w:val="32"/>
        </w:rPr>
        <w:t>附件</w:t>
      </w:r>
    </w:p>
    <w:p w14:paraId="5D875A40">
      <w:pPr>
        <w:pStyle w:val="11"/>
        <w:ind w:firstLine="616"/>
      </w:pPr>
    </w:p>
    <w:p w14:paraId="2C9E2C88">
      <w:pPr>
        <w:pStyle w:val="16"/>
      </w:pPr>
      <w:r>
        <w:t>科研设施与仪器开放共享自评报告（提纲）</w:t>
      </w:r>
    </w:p>
    <w:p w14:paraId="4B1F2ABB">
      <w:pPr>
        <w:pStyle w:val="15"/>
        <w:widowControl/>
        <w:spacing w:beforeAutospacing="0" w:afterAutospacing="0" w:line="30" w:lineRule="atLeast"/>
        <w:jc w:val="both"/>
        <w:textAlignment w:val="baseline"/>
      </w:pPr>
    </w:p>
    <w:p w14:paraId="05B73329">
      <w:pPr>
        <w:pStyle w:val="2"/>
        <w:ind w:firstLine="640"/>
      </w:pPr>
      <w:r>
        <w:t>一、组织管理情况</w:t>
      </w:r>
    </w:p>
    <w:p w14:paraId="60325C99">
      <w:pPr>
        <w:pStyle w:val="11"/>
        <w:ind w:firstLine="616"/>
      </w:pPr>
      <w:r>
        <w:rPr>
          <w:rStyle w:val="23"/>
        </w:rPr>
        <w:t>1.统筹管理</w:t>
      </w:r>
      <w:r>
        <w:rPr>
          <w:color w:val="000000"/>
        </w:rPr>
        <w:t>。科研设施与仪器管理体系及运行情况，开放共享制度和激励约束机制建设与实施情况，新建设施与新购仪器查重评议情况，推进集中集约管理情况。</w:t>
      </w:r>
    </w:p>
    <w:p w14:paraId="071735F9">
      <w:pPr>
        <w:pStyle w:val="11"/>
        <w:ind w:firstLine="616"/>
      </w:pPr>
      <w:r>
        <w:rPr>
          <w:rStyle w:val="23"/>
        </w:rPr>
        <w:t>2.科研仪器开放率</w:t>
      </w:r>
      <w:r>
        <w:rPr>
          <w:color w:val="000000"/>
        </w:rPr>
        <w:t>。已纳入国家网络管理平台开放仪器总原值占应开放仪器总原值的比例。</w:t>
      </w:r>
    </w:p>
    <w:p w14:paraId="207E4383">
      <w:pPr>
        <w:pStyle w:val="11"/>
        <w:ind w:firstLine="616"/>
      </w:pPr>
      <w:r>
        <w:rPr>
          <w:rStyle w:val="23"/>
        </w:rPr>
        <w:t>3.实验技术队伍建设</w:t>
      </w:r>
      <w:r>
        <w:rPr>
          <w:color w:val="000000"/>
        </w:rPr>
        <w:t>。岗位设置、技术培训、薪酬待遇、职称晋升、评价考核的制度与实施情况，人员队伍的规模结构、专业化水平，开展技术方法创新、仪器功能开发的进展成效。</w:t>
      </w:r>
    </w:p>
    <w:p w14:paraId="26F0B8F5">
      <w:pPr>
        <w:pStyle w:val="11"/>
        <w:ind w:firstLine="616"/>
      </w:pPr>
      <w:r>
        <w:rPr>
          <w:rStyle w:val="23"/>
        </w:rPr>
        <w:t>4.在线服务平台建设</w:t>
      </w:r>
      <w:r>
        <w:rPr>
          <w:color w:val="000000"/>
        </w:rPr>
        <w:t>。单位在线服务平台建设，在线服务平台与国家网络管理平台对接情况，信息报送的及时性，在线服务平台可预约仪器比例。</w:t>
      </w:r>
    </w:p>
    <w:p w14:paraId="7BF4439A">
      <w:pPr>
        <w:pStyle w:val="2"/>
        <w:ind w:firstLine="640"/>
      </w:pPr>
      <w:r>
        <w:t>二、运行使用情况</w:t>
      </w:r>
    </w:p>
    <w:p w14:paraId="64D2586A">
      <w:pPr>
        <w:pStyle w:val="11"/>
        <w:ind w:firstLine="616"/>
      </w:pPr>
      <w:r>
        <w:rPr>
          <w:rStyle w:val="23"/>
        </w:rPr>
        <w:t>1.运行情况</w:t>
      </w:r>
      <w:r>
        <w:rPr>
          <w:color w:val="000000"/>
        </w:rPr>
        <w:t>。科研仪器年平均有效工作机时。</w:t>
      </w:r>
    </w:p>
    <w:p w14:paraId="7496C2E1">
      <w:pPr>
        <w:pStyle w:val="11"/>
        <w:ind w:firstLine="616"/>
      </w:pPr>
      <w:r>
        <w:rPr>
          <w:rStyle w:val="23"/>
        </w:rPr>
        <w:t>2.使用成效</w:t>
      </w:r>
      <w:r>
        <w:rPr>
          <w:color w:val="000000"/>
        </w:rPr>
        <w:t>。科研设施与仪器的维修维护及盘活利用情况，支撑本单位开展重大科研任务情况以及相关研究成果的产出、水平与贡献等。</w:t>
      </w:r>
    </w:p>
    <w:p w14:paraId="56BF32EA">
      <w:pPr>
        <w:pStyle w:val="2"/>
        <w:ind w:firstLine="640"/>
      </w:pPr>
      <w:r>
        <w:t>三、共享服务情况</w:t>
      </w:r>
    </w:p>
    <w:p w14:paraId="00111A8C">
      <w:pPr>
        <w:pStyle w:val="11"/>
        <w:ind w:firstLine="616"/>
      </w:pPr>
      <w:r>
        <w:rPr>
          <w:rStyle w:val="23"/>
        </w:rPr>
        <w:t>1.共享机时</w:t>
      </w:r>
      <w:r>
        <w:rPr>
          <w:color w:val="000000"/>
        </w:rPr>
        <w:t>。科研仪器年平均对外服务机时。</w:t>
      </w:r>
    </w:p>
    <w:p w14:paraId="2B3410AD">
      <w:pPr>
        <w:pStyle w:val="11"/>
        <w:ind w:firstLine="616"/>
      </w:pPr>
      <w:r>
        <w:rPr>
          <w:rStyle w:val="23"/>
        </w:rPr>
        <w:t>2.对外服务成效及用户评价</w:t>
      </w:r>
      <w:r>
        <w:rPr>
          <w:color w:val="000000"/>
        </w:rPr>
        <w:t>。科研设施与仪器对外服务及收费制度制定和执行情况，收费金额变化情况，服务外单位重大科研任务、重大工程实施情况以及相关研究成果的产出、水平与贡献，向民营企业开放成效，代表性用户的评价等。</w:t>
      </w:r>
    </w:p>
    <w:p w14:paraId="07708FF3">
      <w:pPr>
        <w:pStyle w:val="11"/>
        <w:ind w:firstLine="616"/>
      </w:pPr>
      <w:r>
        <w:rPr>
          <w:rStyle w:val="23"/>
        </w:rPr>
        <w:t>3.服务科技基础条件自主保障</w:t>
      </w:r>
      <w:r>
        <w:rPr>
          <w:color w:val="000000"/>
        </w:rPr>
        <w:t>。通过技术攻关、验证评价、应用场景开发、示范推广等推进科研仪器及配套试剂、数据库等科技基础条件自主保障的工作及成效。</w:t>
      </w:r>
    </w:p>
    <w:p w14:paraId="044F08E4"/>
    <w:sectPr>
      <w:headerReference r:id="rId3" w:type="default"/>
      <w:footerReference r:id="rId5" w:type="default"/>
      <w:headerReference r:id="rId4" w:type="even"/>
      <w:footerReference r:id="rId6" w:type="even"/>
      <w:pgSz w:w="11906" w:h="16838"/>
      <w:pgMar w:top="2098" w:right="1474" w:bottom="1984" w:left="1587" w:header="851" w:footer="1417" w:gutter="0"/>
      <w:pgNumType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D72E7C-2D78-4418-9C0F-ECA0BE847A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EDD82979-74F1-4B03-9679-2143EEF702C0}"/>
  </w:font>
  <w:font w:name="仿宋_GB2312">
    <w:panose1 w:val="02010609030101010101"/>
    <w:charset w:val="86"/>
    <w:family w:val="modern"/>
    <w:pitch w:val="default"/>
    <w:sig w:usb0="00000001" w:usb1="080E0000" w:usb2="00000000" w:usb3="00000000" w:csb0="00040000" w:csb1="00000000"/>
    <w:embedRegular r:id="rId3" w:fontKey="{ACF8DF0B-609E-4A78-A413-12EC8B595645}"/>
  </w:font>
  <w:font w:name="方正小标宋简体">
    <w:panose1 w:val="02000000000000000000"/>
    <w:charset w:val="86"/>
    <w:family w:val="auto"/>
    <w:pitch w:val="default"/>
    <w:sig w:usb0="00000001" w:usb1="080E0000" w:usb2="00000000" w:usb3="00000000" w:csb0="00040000" w:csb1="00000000"/>
    <w:embedRegular r:id="rId4" w:fontKey="{73E4A1E3-8090-4A68-909F-12CC527F3CAC}"/>
  </w:font>
  <w:font w:name="仿宋">
    <w:panose1 w:val="02010609060101010101"/>
    <w:charset w:val="86"/>
    <w:family w:val="modern"/>
    <w:pitch w:val="default"/>
    <w:sig w:usb0="800002BF" w:usb1="38CF7CFA" w:usb2="00000016" w:usb3="00000000" w:csb0="00040001" w:csb1="00000000"/>
    <w:embedRegular r:id="rId5" w:fontKey="{17DAF210-A73A-4C73-92A9-1B55F6EBEB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7C1F">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5BD08">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OT2uoxAgAAXwQAAA4AAABkcnMvZTJvRG9jLnhtbK1UzY7T&#10;MBC+I/EOlu80aVesqqrpqmxVhFSxKy2Is+s4TST/yXablAeAN+DEhTvP1efgs5N2YeGwBy7OeGb8&#10;zcw3M5nfdEqSg3C+Mbqg41FOidDclI3eFfTjh/WrKSU+MF0yabQo6FF4erN4+WLe2pmYmNrIUjgC&#10;EO1nrS1oHYKdZZnntVDMj4wVGsbKOMUCrm6XlY61QFcym+T5ddYaV1pnuPAe2lVvpAOiew6gqaqG&#10;i5XheyV06FGdkCygJF831tNFyraqBA93VeVFILKgqDSkE0Egb+OZLeZstnPM1g0fUmDPSeFJTYo1&#10;GkEvUCsWGNm75i8o1XBnvKnCiBuV9YUkRlDFOH/CzUPNrEi1gGpvL6T7/wfL3x/uHWlKTAIlmik0&#10;/PTt6+n7z9OPL2Qc6Wmtn8HrwcIvdG9MF10HvYcyVt1VTsUv6iGwg9zjhVzRBcLjo+lkOs1h4rCd&#10;L8DJHp9b58NbYRSJQkEdupdIZYeND73r2SVG02bdSAk9m0lN2oJeX73O04OLBeBSI0Ysok82SqHb&#10;dkMFW1MeUZgz/WR4y9cNgm+YD/fMYRSQMJYl3OGopEEQM0iU1MZ9/pc++qNDsFLSYrQKqrFJlMh3&#10;Gp2b5FdYA4xiukFwf6i3Z7Xeq1uDqUVfkFUSo3OQZ7FyRn3CLi1jNJiY5ohZ0HAWb0M/6NhFLpbL&#10;5ISpsyxs9IPlETpy5+1yH0BlYjjS03MysIa5Sz0adiQO9u/35PX4X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CTk9rqMQIAAF8EAAAOAAAAAAAAAAEAIAAAACUBAABkcnMvZTJvRG9jLnht&#10;bFBLBQYAAAAABgAGAFkBAADIBQAAAAA=&#10;">
              <v:fill on="f" focussize="0,0"/>
              <v:stroke on="f" weight="0.5pt"/>
              <v:imagedata o:title=""/>
              <o:lock v:ext="edit" aspectratio="f"/>
              <v:textbox inset="16pt,0mm,16pt,0mm" style="mso-fit-shape-to-text:t;">
                <w:txbxContent>
                  <w:p w14:paraId="5335BD08">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D144">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D9CD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zlSa8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k4o0Uyh&#10;4advX0/ff55+fCGTKE9r/QxZDxZ5oXtjOgzN2e/hjKy7yqn4Cz4EcYh7vIgrukB4vDSdTKc5Qhyx&#10;8wH42eN163x4K4wi0SioQ/eSqOyw8aFPPafEatqsGylTB6UmbUGvr17n6cIlAnCpUSOS6B8brdBt&#10;u4HZ1pRHEHOmnwxv+bpB8Q3z4Z45jAIejGUJd/hU0qCIGSxKauM+/8sf89EhRClpMVoF1dgkSuQ7&#10;jc5N8iusAUYxnWC4P9zbs1vv1a3B1I6xjpYnMyYHeTYrZ9Qn7NIyVkOIaY6aBQ1n8zb0g45d5GK5&#10;TEmYOsvCRj9YHqGjjN4u9wFSJoWjPL0mg2qYu9SjYUfiYP9+TlmP/wu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M5UmvMQIAAF8EAAAOAAAAAAAAAAEAIAAAACUBAABkcnMvZTJvRG9jLnht&#10;bFBLBQYAAAAABgAGAFkBAADIBQAAAAA=&#10;">
              <v:fill on="f" focussize="0,0"/>
              <v:stroke on="f" weight="0.5pt"/>
              <v:imagedata o:title=""/>
              <o:lock v:ext="edit" aspectratio="f"/>
              <v:textbox inset="16pt,0mm,16pt,0mm" style="mso-fit-shape-to-text:t;">
                <w:txbxContent>
                  <w:p w14:paraId="0B9D9CDA">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D864E">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0DB5B">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6A"/>
    <w:rsid w:val="00190A16"/>
    <w:rsid w:val="007D18DD"/>
    <w:rsid w:val="0083641C"/>
    <w:rsid w:val="00B54B6A"/>
    <w:rsid w:val="216841F0"/>
    <w:rsid w:val="22F851E4"/>
    <w:rsid w:val="464C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23"/>
    <w:semiHidden/>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customStyle="1" w:styleId="21">
    <w:name w:val="主送对象"/>
    <w:next w:val="1"/>
    <w:qFormat/>
    <w:uiPriority w:val="0"/>
    <w:pPr>
      <w:spacing w:line="560" w:lineRule="exact"/>
    </w:pPr>
    <w:rPr>
      <w:rFonts w:ascii="Times New Roman" w:hAnsi="Times New Roman" w:eastAsia="宋体" w:cs="Times New Roman"/>
      <w:lang w:val="en-US" w:eastAsia="zh-CN" w:bidi="ar-SA"/>
    </w:rPr>
  </w:style>
  <w:style w:type="paragraph" w:customStyle="1" w:styleId="22">
    <w:name w:val="附录标题"/>
    <w:next w:val="1"/>
    <w:uiPriority w:val="0"/>
    <w:pPr>
      <w:overflowPunct w:val="0"/>
      <w:topLinePunct/>
      <w:spacing w:line="560" w:lineRule="exact"/>
      <w:outlineLvl w:val="0"/>
    </w:pPr>
    <w:rPr>
      <w:rFonts w:ascii="Times New Roman" w:hAnsi="Times New Roman" w:eastAsia="宋体" w:cs="Times New Roman"/>
      <w:lang w:val="en-US" w:eastAsia="zh-CN" w:bidi="ar-SA"/>
    </w:rPr>
  </w:style>
  <w:style w:type="character" w:customStyle="1" w:styleId="23">
    <w:name w:val="标题 2 字符"/>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2075</Words>
  <Characters>2173</Characters>
  <Lines>15</Lines>
  <Paragraphs>4</Paragraphs>
  <TotalTime>4</TotalTime>
  <ScaleCrop>false</ScaleCrop>
  <LinksUpToDate>false</LinksUpToDate>
  <CharactersWithSpaces>2185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2026-08-18T08:45:00Z</dcterms:created>
  <dc:creator>zsu</dc:creator>
  <cp:lastModifiedBy>焦之洋</cp:lastModifiedBy>
  <dcterms:modified xsi:type="dcterms:W3CDTF">2026-08-21T03:00:14Z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eyJoZGlkIjoiYzAxNjdmNzI0NzRmNWFhZDgzZDA3YTk1MWRkZDM3YzMiLCJ1c2VySWQiOiIxNjQ5MjM5NzAzIn0=</vt:lpwstr>
  </property>
  <property fmtid="{D5CDD505-2E9C-101B-9397-08002B2CF9AE}" pid="4" name="ICV">
    <vt:lpwstr>21B7BF6B96DB4257BA86EC6877B72F73_12</vt:lpwstr>
  </property>
</Properties>
</file>